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03" w:rsidRPr="00210403" w:rsidRDefault="00210403" w:rsidP="00210403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b/>
          <w:bCs/>
          <w:color w:val="122E3A"/>
          <w:sz w:val="24"/>
          <w:szCs w:val="24"/>
          <w:bdr w:val="none" w:sz="0" w:space="0" w:color="auto" w:frame="1"/>
          <w:lang w:eastAsia="fr-FR"/>
        </w:rPr>
        <w:t>Plan du cours :</w:t>
      </w:r>
    </w:p>
    <w:p w:rsidR="00210403" w:rsidRPr="00210403" w:rsidRDefault="00210403" w:rsidP="00210403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I.1. Une Histoire qui commence au XVIe siècle ?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I.2. Un pionnier : Erasme de Rotterdam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I.3. Martin Luther. Le premier Luther (1483-1521)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I.4. Martin Luther – Luther le libre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I.5. Luther et le mariage pour tous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I.6. La guerre des paysans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II.1. La réforme radicale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II.2. Cujus regio ejus religio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II.3. Luther, l’école et le livre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II.4. Les débuts de la Réforme en France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II.5. Jean Calvin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II.6. Le modèle de réforme de Calvin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II.7. La calvinisation de la Réforme française (v.1540 – v1560)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III.1. Calvin, père du capitalisme ?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III.2. La stratégie de conquête de la Réforme française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III.3. Les guerres de religion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III.4. Essaie de modélisation des guerres de religion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III.5. L’édit de Nantes : l’invention de la tolérance civile ?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III.6. Le temps de l’édit de Nantes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III.7. La minorité réformée au XVIIe siècle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III.8. L’édit à la rigueur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IV.1. Histoire du protestantisme contemporain – Introduction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IV.2. Prophétisme, prédicants et camisards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IV.3. Restauration d’une Eglise clandestine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IV.4. Les formes de persécutions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IV.5. Les progrès de la tolérance sous l’Europe des lumières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IV.6. Les protestants, la Révolution française et l’Empire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IV.7. Le protestantisme dans l’organisation concordataire des cultes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V.1. Les réveils religieux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V.2. Le dynamisme évangélisateur et associatif protestant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V.3. Protestantisme, moralisation du travail et capitalisme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V.4. Tocqueville et l’essence républicaine du protestantisme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V.5. L’apport à la laïcité (1860-1890)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V.6. Une gauche critique : affaire Dreyfus et Séparation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VI.1. Courant religieux : christianisme social, barthisme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VI.2. Résistance spirituelle face à Vichy et à la Shoah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VI.3. Protestantisme et modernité politique et sociétal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VI.4. La conquête évangélique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VI.5. Statistique, géographie, sociologie</w:t>
      </w: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VI.6. Le protestantisme et l’art</w:t>
      </w:r>
    </w:p>
    <w:p w:rsidR="00210403" w:rsidRPr="00210403" w:rsidRDefault="00210403" w:rsidP="00210403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210403" w:rsidRPr="00210403" w:rsidRDefault="00210403" w:rsidP="00210403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b/>
          <w:bCs/>
          <w:color w:val="122E3A"/>
          <w:sz w:val="24"/>
          <w:szCs w:val="24"/>
          <w:bdr w:val="none" w:sz="0" w:space="0" w:color="auto" w:frame="1"/>
          <w:lang w:eastAsia="fr-FR"/>
        </w:rPr>
        <w:t>Questions de suivi :</w:t>
      </w:r>
    </w:p>
    <w:p w:rsidR="00210403" w:rsidRPr="00210403" w:rsidRDefault="00210403" w:rsidP="00210403">
      <w:pPr>
        <w:numPr>
          <w:ilvl w:val="0"/>
          <w:numId w:val="1"/>
        </w:numPr>
        <w:spacing w:after="75" w:line="240" w:lineRule="auto"/>
        <w:ind w:left="375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En vous appuyant sur ce cours, en quoi peut-on considérer Erasme de Rotterdam comme un précurseur à la Réforme ?</w:t>
      </w:r>
    </w:p>
    <w:p w:rsidR="00210403" w:rsidRPr="00210403" w:rsidRDefault="00210403" w:rsidP="00210403">
      <w:pPr>
        <w:numPr>
          <w:ilvl w:val="0"/>
          <w:numId w:val="1"/>
        </w:numPr>
        <w:spacing w:after="75" w:line="240" w:lineRule="auto"/>
        <w:ind w:left="375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Comment résumeriez vous le parcours de Luther qui le conduisit jusqu’à son excommunication ?</w:t>
      </w:r>
    </w:p>
    <w:p w:rsidR="00210403" w:rsidRPr="00210403" w:rsidRDefault="00210403" w:rsidP="00210403">
      <w:pPr>
        <w:numPr>
          <w:ilvl w:val="0"/>
          <w:numId w:val="1"/>
        </w:numPr>
        <w:spacing w:after="75" w:line="240" w:lineRule="auto"/>
        <w:ind w:left="375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Comment Luther comprend-il l’Eglise ?</w:t>
      </w:r>
    </w:p>
    <w:p w:rsidR="00210403" w:rsidRPr="00210403" w:rsidRDefault="00210403" w:rsidP="00210403">
      <w:pPr>
        <w:numPr>
          <w:ilvl w:val="0"/>
          <w:numId w:val="1"/>
        </w:numPr>
        <w:spacing w:after="75" w:line="240" w:lineRule="auto"/>
        <w:ind w:left="375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Que signifie la « liberté chrétienne » selon Luther?</w:t>
      </w:r>
    </w:p>
    <w:p w:rsidR="00210403" w:rsidRPr="00210403" w:rsidRDefault="00210403" w:rsidP="00210403">
      <w:pPr>
        <w:numPr>
          <w:ilvl w:val="0"/>
          <w:numId w:val="1"/>
        </w:numPr>
        <w:spacing w:after="75" w:line="240" w:lineRule="auto"/>
        <w:ind w:left="375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lastRenderedPageBreak/>
        <w:t>Quelle est la position de Luther sur le mariage?</w:t>
      </w:r>
    </w:p>
    <w:p w:rsidR="00210403" w:rsidRPr="00210403" w:rsidRDefault="00210403" w:rsidP="00210403">
      <w:pPr>
        <w:numPr>
          <w:ilvl w:val="0"/>
          <w:numId w:val="1"/>
        </w:numPr>
        <w:spacing w:after="75" w:line="240" w:lineRule="auto"/>
        <w:ind w:left="375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Quels ont été les points d’affrontement entre Luther et les anabaptistes?</w:t>
      </w:r>
    </w:p>
    <w:p w:rsidR="00210403" w:rsidRPr="00210403" w:rsidRDefault="00210403" w:rsidP="00210403">
      <w:pPr>
        <w:numPr>
          <w:ilvl w:val="0"/>
          <w:numId w:val="1"/>
        </w:numPr>
        <w:spacing w:after="75" w:line="240" w:lineRule="auto"/>
        <w:ind w:left="375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Quel modèle d’Eglise Calvin a-t-il construit?</w:t>
      </w:r>
    </w:p>
    <w:p w:rsidR="00210403" w:rsidRPr="00210403" w:rsidRDefault="00210403" w:rsidP="00210403">
      <w:pPr>
        <w:numPr>
          <w:ilvl w:val="0"/>
          <w:numId w:val="1"/>
        </w:numPr>
        <w:spacing w:after="75" w:line="240" w:lineRule="auto"/>
        <w:ind w:left="375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Quelles sont les grandes lignes de l’édit de Nantes (1598)?</w:t>
      </w:r>
    </w:p>
    <w:p w:rsidR="00210403" w:rsidRPr="00210403" w:rsidRDefault="00210403" w:rsidP="00210403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 </w:t>
      </w:r>
    </w:p>
    <w:p w:rsidR="00210403" w:rsidRPr="00210403" w:rsidRDefault="00210403" w:rsidP="00210403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b/>
          <w:bCs/>
          <w:color w:val="122E3A"/>
          <w:sz w:val="24"/>
          <w:szCs w:val="24"/>
          <w:bdr w:val="none" w:sz="0" w:space="0" w:color="auto" w:frame="1"/>
          <w:lang w:eastAsia="fr-FR"/>
        </w:rPr>
        <w:t>Sujet de dissertation (au choix)</w:t>
      </w:r>
    </w:p>
    <w:p w:rsidR="00210403" w:rsidRPr="00210403" w:rsidRDefault="00210403" w:rsidP="00210403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 </w:t>
      </w:r>
    </w:p>
    <w:p w:rsidR="00210403" w:rsidRPr="00210403" w:rsidRDefault="00210403" w:rsidP="00210403">
      <w:pPr>
        <w:numPr>
          <w:ilvl w:val="0"/>
          <w:numId w:val="2"/>
        </w:numPr>
        <w:spacing w:after="75" w:line="240" w:lineRule="auto"/>
        <w:ind w:left="375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Quels changements le mouvement humaniste et la réforme protestante ont-ils apportés au rapport des croyants à la Bible?</w:t>
      </w:r>
    </w:p>
    <w:p w:rsidR="00210403" w:rsidRPr="00210403" w:rsidRDefault="00210403" w:rsidP="00210403">
      <w:pPr>
        <w:numPr>
          <w:ilvl w:val="0"/>
          <w:numId w:val="2"/>
        </w:numPr>
        <w:spacing w:after="75" w:line="240" w:lineRule="auto"/>
        <w:ind w:left="375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210403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Le protestantisme et la modernité</w:t>
      </w:r>
    </w:p>
    <w:p w:rsidR="00B17194" w:rsidRDefault="00B17194">
      <w:bookmarkStart w:id="0" w:name="_GoBack"/>
      <w:bookmarkEnd w:id="0"/>
    </w:p>
    <w:sectPr w:rsidR="00B1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90D"/>
    <w:multiLevelType w:val="multilevel"/>
    <w:tmpl w:val="2030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55B08"/>
    <w:multiLevelType w:val="multilevel"/>
    <w:tmpl w:val="2E8E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F4"/>
    <w:rsid w:val="000F54C0"/>
    <w:rsid w:val="00210403"/>
    <w:rsid w:val="003D5DA4"/>
    <w:rsid w:val="006C746E"/>
    <w:rsid w:val="00B17194"/>
    <w:rsid w:val="00C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48D82-AF05-4D9D-BD62-E94BBA9F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Thibaut</cp:lastModifiedBy>
  <cp:revision>2</cp:revision>
  <dcterms:created xsi:type="dcterms:W3CDTF">2017-03-20T13:18:00Z</dcterms:created>
  <dcterms:modified xsi:type="dcterms:W3CDTF">2017-03-20T13:18:00Z</dcterms:modified>
</cp:coreProperties>
</file>